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D300FD" w:rsidRPr="00D300FD">
        <w:tc>
          <w:tcPr>
            <w:tcW w:w="9242" w:type="dxa"/>
            <w:shd w:val="clear" w:color="auto" w:fill="D3DFEE"/>
          </w:tcPr>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D30FC2" w:rsidRPr="00DE66B2">
              <w:rPr>
                <w:rFonts w:ascii="Times New Roman" w:hAnsi="Times New Roman" w:cs="Times New Roman"/>
                <w:lang w:val="en-GB"/>
              </w:rPr>
              <w:t>Special Hospital for Psychiatric Diseases "Dr Slavoljub</w:t>
            </w:r>
            <w:r w:rsidR="0028424D">
              <w:rPr>
                <w:rFonts w:ascii="Times New Roman" w:hAnsi="Times New Roman" w:cs="Times New Roman"/>
                <w:lang w:val="en-GB"/>
              </w:rPr>
              <w:t xml:space="preserve"> </w:t>
            </w:r>
            <w:r w:rsidR="00D30FC2" w:rsidRPr="00DE66B2">
              <w:rPr>
                <w:rFonts w:ascii="Times New Roman" w:hAnsi="Times New Roman" w:cs="Times New Roman"/>
                <w:lang w:val="en-GB"/>
              </w:rPr>
              <w:t>Bakalović" Vršac</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D30FC2" w:rsidRPr="00D30FC2">
              <w:rPr>
                <w:rFonts w:ascii="Times New Roman" w:hAnsi="Times New Roman" w:cs="Times New Roman"/>
                <w:lang w:val="en-GB"/>
              </w:rPr>
              <w:t>Procurement services</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CF31F8" w:rsidRPr="00CF31F8">
              <w:rPr>
                <w:rFonts w:ascii="Times New Roman" w:hAnsi="Times New Roman" w:cs="Times New Roman"/>
                <w:lang w:val="en-GB"/>
              </w:rPr>
              <w:t>RORS00216/SBPB Vrsac/TD1</w:t>
            </w:r>
          </w:p>
          <w:p w:rsidR="00056F91" w:rsidRPr="00D300FD" w:rsidRDefault="00056F91" w:rsidP="00CF31F8">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CF31F8">
              <w:rPr>
                <w:rFonts w:ascii="Times New Roman" w:hAnsi="Times New Roman" w:cs="Times New Roman"/>
                <w:lang w:val="en-GB"/>
              </w:rPr>
              <w:t>0</w:t>
            </w:r>
            <w:r w:rsidR="00A07B2F">
              <w:rPr>
                <w:rFonts w:ascii="Times New Roman" w:hAnsi="Times New Roman" w:cs="Times New Roman"/>
                <w:lang w:val="en-GB"/>
              </w:rPr>
              <w:t>4</w:t>
            </w:r>
            <w:r w:rsidRPr="00D30FC2">
              <w:rPr>
                <w:rFonts w:ascii="Times New Roman" w:hAnsi="Times New Roman" w:cs="Times New Roman"/>
                <w:lang w:val="en-GB"/>
              </w:rPr>
              <w:t>/</w:t>
            </w:r>
            <w:r w:rsidR="00D30FC2" w:rsidRPr="00D30FC2">
              <w:rPr>
                <w:rFonts w:ascii="Times New Roman" w:hAnsi="Times New Roman" w:cs="Times New Roman"/>
                <w:lang w:val="en-GB"/>
              </w:rPr>
              <w:t>0</w:t>
            </w:r>
            <w:r w:rsidR="00CF31F8">
              <w:rPr>
                <w:rFonts w:ascii="Times New Roman" w:hAnsi="Times New Roman" w:cs="Times New Roman"/>
                <w:lang w:val="en-GB"/>
              </w:rPr>
              <w:t>4</w:t>
            </w:r>
            <w:r w:rsidRPr="00D30FC2">
              <w:rPr>
                <w:rFonts w:ascii="Times New Roman" w:hAnsi="Times New Roman" w:cs="Times New Roman"/>
                <w:lang w:val="en-GB"/>
              </w:rPr>
              <w:t>/</w:t>
            </w:r>
            <w:r w:rsidR="00D30FC2" w:rsidRPr="00D30FC2">
              <w:rPr>
                <w:rFonts w:ascii="Times New Roman" w:hAnsi="Times New Roman" w:cs="Times New Roman"/>
                <w:lang w:val="en-GB"/>
              </w:rPr>
              <w:t>202</w:t>
            </w:r>
            <w:r w:rsidR="00CF31F8">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D30FC2" w:rsidRDefault="00056F91" w:rsidP="003B5BA3">
      <w:pPr>
        <w:spacing w:after="0"/>
        <w:jc w:val="both"/>
        <w:rPr>
          <w:rFonts w:ascii="Times New Roman" w:hAnsi="Times New Roman" w:cs="Times New Roman"/>
          <w:sz w:val="24"/>
          <w:szCs w:val="24"/>
          <w:lang w:val="en-GB"/>
        </w:rPr>
      </w:pPr>
      <w:r w:rsidRPr="00D30FC2">
        <w:rPr>
          <w:rFonts w:ascii="Times New Roman" w:hAnsi="Times New Roman" w:cs="Times New Roman"/>
          <w:sz w:val="24"/>
          <w:szCs w:val="24"/>
          <w:lang w:val="en-GB"/>
        </w:rPr>
        <w:t>- Implementation of services as indicated in the technical information in the point 2 of th</w:t>
      </w:r>
      <w:r w:rsidR="005D51F2" w:rsidRPr="00D30FC2">
        <w:rPr>
          <w:rFonts w:ascii="Times New Roman" w:hAnsi="Times New Roman" w:cs="Times New Roman"/>
          <w:sz w:val="24"/>
          <w:szCs w:val="24"/>
          <w:lang w:val="en-GB"/>
        </w:rPr>
        <w:t>is</w:t>
      </w:r>
      <w:r w:rsidRPr="00D30FC2">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submission of tenders is </w:t>
      </w:r>
      <w:r w:rsidR="00CF31F8">
        <w:rPr>
          <w:rFonts w:ascii="Times New Roman" w:hAnsi="Times New Roman" w:cs="Times New Roman"/>
          <w:b/>
          <w:sz w:val="24"/>
          <w:szCs w:val="24"/>
          <w:lang w:val="en-GB"/>
        </w:rPr>
        <w:t>14</w:t>
      </w:r>
      <w:r w:rsidRPr="00D30FC2">
        <w:rPr>
          <w:rFonts w:ascii="Times New Roman" w:hAnsi="Times New Roman" w:cs="Times New Roman"/>
          <w:b/>
          <w:bCs/>
          <w:sz w:val="24"/>
          <w:szCs w:val="24"/>
          <w:lang w:val="en-GB"/>
        </w:rPr>
        <w:t>/</w:t>
      </w:r>
      <w:r w:rsidR="00D30FC2" w:rsidRPr="00D30FC2">
        <w:rPr>
          <w:rFonts w:ascii="Times New Roman" w:hAnsi="Times New Roman" w:cs="Times New Roman"/>
          <w:b/>
          <w:bCs/>
          <w:sz w:val="24"/>
          <w:szCs w:val="24"/>
          <w:lang w:val="en-GB"/>
        </w:rPr>
        <w:t>0</w:t>
      </w:r>
      <w:r w:rsidR="00CF31F8">
        <w:rPr>
          <w:rFonts w:ascii="Times New Roman" w:hAnsi="Times New Roman" w:cs="Times New Roman"/>
          <w:b/>
          <w:bCs/>
          <w:sz w:val="24"/>
          <w:szCs w:val="24"/>
          <w:lang w:val="en-GB"/>
        </w:rPr>
        <w:t>4</w:t>
      </w:r>
      <w:r w:rsidRPr="00D30FC2">
        <w:rPr>
          <w:rFonts w:ascii="Times New Roman" w:hAnsi="Times New Roman" w:cs="Times New Roman"/>
          <w:b/>
          <w:bCs/>
          <w:sz w:val="24"/>
          <w:szCs w:val="24"/>
          <w:lang w:val="en-GB"/>
        </w:rPr>
        <w:t>/</w:t>
      </w:r>
      <w:r w:rsidR="00D30FC2" w:rsidRPr="00D30FC2">
        <w:rPr>
          <w:rFonts w:ascii="Times New Roman" w:hAnsi="Times New Roman" w:cs="Times New Roman"/>
          <w:b/>
          <w:bCs/>
          <w:sz w:val="24"/>
          <w:szCs w:val="24"/>
          <w:lang w:val="en-GB"/>
        </w:rPr>
        <w:t>202</w:t>
      </w:r>
      <w:r w:rsidR="00CF31F8">
        <w:rPr>
          <w:rFonts w:ascii="Times New Roman" w:hAnsi="Times New Roman" w:cs="Times New Roman"/>
          <w:b/>
          <w:bCs/>
          <w:sz w:val="24"/>
          <w:szCs w:val="24"/>
          <w:lang w:val="en-GB"/>
        </w:rPr>
        <w:t>5</w:t>
      </w:r>
      <w:r w:rsidRPr="00D30FC2">
        <w:rPr>
          <w:rFonts w:ascii="Times New Roman" w:hAnsi="Times New Roman" w:cs="Times New Roman"/>
          <w:b/>
          <w:bCs/>
          <w:sz w:val="24"/>
          <w:szCs w:val="24"/>
          <w:lang w:val="en-GB"/>
        </w:rPr>
        <w:t xml:space="preserve"> at </w:t>
      </w:r>
      <w:r w:rsidR="00D30FC2" w:rsidRPr="00D30FC2">
        <w:rPr>
          <w:rFonts w:ascii="Times New Roman" w:hAnsi="Times New Roman" w:cs="Times New Roman"/>
          <w:b/>
          <w:bCs/>
          <w:sz w:val="24"/>
          <w:szCs w:val="24"/>
          <w:lang w:val="en-GB"/>
        </w:rPr>
        <w:t>12</w:t>
      </w:r>
      <w:r w:rsidRPr="00D30FC2">
        <w:rPr>
          <w:rFonts w:ascii="Times New Roman" w:hAnsi="Times New Roman" w:cs="Times New Roman"/>
          <w:b/>
          <w:bCs/>
          <w:sz w:val="24"/>
          <w:szCs w:val="24"/>
          <w:lang w:val="en-GB"/>
        </w:rPr>
        <w:t>:</w:t>
      </w:r>
      <w:r w:rsidR="00D30FC2" w:rsidRPr="00D30FC2">
        <w:rPr>
          <w:rFonts w:ascii="Times New Roman" w:hAnsi="Times New Roman" w:cs="Times New Roman"/>
          <w:b/>
          <w:bCs/>
          <w:sz w:val="24"/>
          <w:szCs w:val="24"/>
          <w:lang w:val="en-GB"/>
        </w:rPr>
        <w:t>00</w:t>
      </w:r>
      <w:r w:rsidR="0028424D">
        <w:rPr>
          <w:rFonts w:ascii="Times New Roman" w:hAnsi="Times New Roman" w:cs="Times New Roman"/>
          <w:b/>
          <w:bCs/>
          <w:sz w:val="24"/>
          <w:szCs w:val="24"/>
          <w:lang w:val="en-GB"/>
        </w:rPr>
        <w:t xml:space="preserve"> </w:t>
      </w:r>
      <w:r w:rsidRPr="00D30FC2">
        <w:rPr>
          <w:rFonts w:ascii="Times New Roman" w:hAnsi="Times New Roman" w:cs="Times New Roman"/>
          <w:b/>
          <w:bCs/>
          <w:sz w:val="24"/>
          <w:szCs w:val="24"/>
          <w:lang w:val="en-GB"/>
        </w:rPr>
        <w:t>hours</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B47C69" w:rsidRPr="00D300FD" w:rsidRDefault="00D30FC2"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Pr>
          <w:rFonts w:ascii="Times New Roman" w:eastAsia="Times New Roman" w:hAnsi="Times New Roman" w:cs="Times New Roman"/>
          <w:sz w:val="24"/>
          <w:szCs w:val="24"/>
          <w:lang w:val="en-GB"/>
        </w:rPr>
        <w:t xml:space="preserve"> Questions regarding this procedure may be submitted to </w:t>
      </w:r>
      <w:hyperlink r:id="rId8" w:history="1">
        <w:r w:rsidRPr="00A876F4">
          <w:rPr>
            <w:rStyle w:val="Hyperlink"/>
            <w:rFonts w:ascii="Times New Roman" w:eastAsia="Times New Roman" w:hAnsi="Times New Roman" w:cs="Times New Roman"/>
            <w:sz w:val="24"/>
            <w:szCs w:val="24"/>
            <w:lang w:val="en-GB"/>
          </w:rPr>
          <w:t>npbvrsac@gmail.com</w:t>
        </w:r>
      </w:hyperlink>
      <w:r>
        <w:rPr>
          <w:rFonts w:ascii="Times New Roman" w:eastAsia="Times New Roman" w:hAnsi="Times New Roman" w:cs="Times New Roman"/>
          <w:sz w:val="24"/>
          <w:szCs w:val="24"/>
          <w:lang w:val="en-GB"/>
        </w:rPr>
        <w:t xml:space="preserve"> until 5 days before submission deadline.</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the maximum available value of the contract is </w:t>
      </w:r>
      <w:r w:rsidR="00D30FC2" w:rsidRPr="00D30FC2">
        <w:rPr>
          <w:rFonts w:ascii="Times New Roman" w:hAnsi="Times New Roman" w:cs="Times New Roman"/>
          <w:sz w:val="24"/>
          <w:szCs w:val="24"/>
          <w:lang w:val="en-GB"/>
        </w:rPr>
        <w:t>20.000,00</w:t>
      </w:r>
      <w:r w:rsidRPr="00D30FC2">
        <w:rPr>
          <w:rFonts w:ascii="Times New Roman" w:hAnsi="Times New Roman" w:cs="Times New Roman"/>
          <w:sz w:val="24"/>
          <w:szCs w:val="24"/>
          <w:lang w:val="en-GB"/>
        </w:rPr>
        <w:t xml:space="preserve"> EUR</w:t>
      </w:r>
      <w:r w:rsidR="00D30FC2" w:rsidRPr="00D30FC2">
        <w:rPr>
          <w:rFonts w:ascii="Times New Roman" w:hAnsi="Times New Roman" w:cs="Times New Roman"/>
          <w:sz w:val="24"/>
          <w:szCs w:val="24"/>
          <w:lang w:val="en-GB"/>
        </w:rPr>
        <w:t xml:space="preserve"> </w:t>
      </w:r>
      <w:r w:rsidR="00CF31F8">
        <w:rPr>
          <w:rFonts w:ascii="Times New Roman" w:hAnsi="Times New Roman" w:cs="Times New Roman"/>
          <w:sz w:val="24"/>
          <w:szCs w:val="24"/>
          <w:lang w:val="en-GB"/>
        </w:rPr>
        <w:t>in</w:t>
      </w:r>
      <w:r w:rsidR="00F86E87" w:rsidRPr="00D30FC2">
        <w:rPr>
          <w:rFonts w:ascii="Times New Roman" w:hAnsi="Times New Roman" w:cs="Times New Roman"/>
          <w:sz w:val="24"/>
          <w:szCs w:val="24"/>
          <w:lang w:val="en-GB"/>
        </w:rPr>
        <w:t>cluding</w:t>
      </w:r>
      <w:r w:rsidR="00D30FC2">
        <w:rPr>
          <w:rFonts w:ascii="Times New Roman" w:hAnsi="Times New Roman" w:cs="Times New Roman"/>
          <w:sz w:val="24"/>
          <w:szCs w:val="24"/>
          <w:lang w:val="en-GB"/>
        </w:rPr>
        <w:t xml:space="preserve"> </w:t>
      </w:r>
      <w:r w:rsidR="00F86E87" w:rsidRPr="00D30FC2">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25185A" w:rsidRDefault="00056F91" w:rsidP="0025185A">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Financial offer must be presented as an amount </w:t>
      </w:r>
      <w:r w:rsidRPr="00D30FC2">
        <w:rPr>
          <w:rFonts w:ascii="Times New Roman" w:hAnsi="Times New Roman" w:cs="Times New Roman"/>
          <w:sz w:val="24"/>
          <w:szCs w:val="24"/>
          <w:lang w:val="en-GB"/>
        </w:rPr>
        <w:t xml:space="preserve">in EUR </w:t>
      </w:r>
      <w:r w:rsidR="00D30FC2" w:rsidRPr="00D30FC2">
        <w:rPr>
          <w:rFonts w:ascii="Times New Roman" w:hAnsi="Times New Roman" w:cs="Times New Roman"/>
          <w:sz w:val="24"/>
          <w:szCs w:val="24"/>
          <w:lang w:val="en-GB"/>
        </w:rPr>
        <w:t xml:space="preserve">or RSD </w:t>
      </w:r>
      <w:r w:rsidR="00D13FD4" w:rsidRPr="00D30FC2">
        <w:rPr>
          <w:rFonts w:ascii="Times New Roman" w:hAnsi="Times New Roman" w:cs="Times New Roman"/>
          <w:sz w:val="24"/>
          <w:szCs w:val="24"/>
        </w:rPr>
        <w:t xml:space="preserve">with VAT </w:t>
      </w:r>
      <w:r w:rsidR="00CF31F8">
        <w:rPr>
          <w:rFonts w:ascii="Times New Roman" w:hAnsi="Times New Roman" w:cs="Times New Roman"/>
          <w:sz w:val="24"/>
          <w:szCs w:val="24"/>
        </w:rPr>
        <w:t>included</w:t>
      </w:r>
      <w:r w:rsidRPr="00D30FC2">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w:t>
      </w:r>
      <w:r w:rsidR="0025185A" w:rsidRPr="00D300FD">
        <w:rPr>
          <w:rFonts w:ascii="Times New Roman" w:hAnsi="Times New Roman" w:cs="Times New Roman"/>
          <w:sz w:val="24"/>
          <w:szCs w:val="24"/>
          <w:lang w:val="en-GB"/>
        </w:rPr>
        <w:t xml:space="preserve">PART C: FORMAT OF FINANCIAL OFFER. </w:t>
      </w:r>
    </w:p>
    <w:p w:rsidR="00D30FC2" w:rsidRPr="00D300FD" w:rsidRDefault="0025185A" w:rsidP="0025185A">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r w:rsidR="00056F91" w:rsidRPr="00D300FD">
        <w:rPr>
          <w:rFonts w:ascii="Times New Roman" w:hAnsi="Times New Roman" w:cs="Times New Roman"/>
          <w:sz w:val="24"/>
          <w:szCs w:val="24"/>
          <w:lang w:val="en-GB"/>
        </w:rPr>
        <w:t xml:space="preserve"> </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D30FC2">
        <w:rPr>
          <w:rFonts w:ascii="Times New Roman" w:hAnsi="Times New Roman" w:cs="Times New Roman"/>
          <w:sz w:val="24"/>
          <w:szCs w:val="24"/>
          <w:lang w:val="en-GB"/>
        </w:rPr>
        <w:t>nth when the tender is launched</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D30FC2">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D30FC2">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D30FC2">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D30FC2">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D30FC2" w:rsidRDefault="00056F91" w:rsidP="00855FE4">
      <w:pPr>
        <w:spacing w:after="0"/>
        <w:jc w:val="both"/>
        <w:rPr>
          <w:rFonts w:ascii="Times New Roman" w:hAnsi="Times New Roman" w:cs="Times New Roman"/>
          <w:sz w:val="24"/>
          <w:szCs w:val="24"/>
          <w:lang w:val="en-GB"/>
        </w:rPr>
      </w:pPr>
      <w:r w:rsidRPr="00D30FC2">
        <w:rPr>
          <w:rFonts w:ascii="Times New Roman" w:hAnsi="Times New Roman" w:cs="Times New Roman"/>
          <w:sz w:val="24"/>
          <w:szCs w:val="24"/>
          <w:lang w:val="en-GB"/>
        </w:rPr>
        <w:t>In addition to the offer the tenderer is required to provide the following supporting documentation:</w:t>
      </w:r>
    </w:p>
    <w:p w:rsidR="0031103D" w:rsidRPr="00D30FC2" w:rsidRDefault="0031103D" w:rsidP="00EC4EA0">
      <w:pPr>
        <w:pStyle w:val="ListParagraph"/>
        <w:numPr>
          <w:ilvl w:val="0"/>
          <w:numId w:val="1"/>
        </w:numPr>
        <w:spacing w:after="0"/>
        <w:jc w:val="both"/>
        <w:rPr>
          <w:rFonts w:ascii="Times New Roman" w:hAnsi="Times New Roman" w:cs="Times New Roman"/>
          <w:sz w:val="24"/>
          <w:szCs w:val="24"/>
          <w:lang w:val="en-GB"/>
        </w:rPr>
      </w:pPr>
      <w:r w:rsidRPr="00D30FC2">
        <w:rPr>
          <w:rFonts w:ascii="Times New Roman" w:hAnsi="Times New Roman" w:cs="Times New Roman"/>
          <w:sz w:val="24"/>
          <w:szCs w:val="24"/>
          <w:lang w:val="en-GB"/>
        </w:rPr>
        <w:lastRenderedPageBreak/>
        <w:t>Copy of legal registration (only if not publicly available</w:t>
      </w:r>
      <w:r w:rsidR="00C05C9A" w:rsidRPr="00D30FC2">
        <w:rPr>
          <w:rFonts w:ascii="Times New Roman" w:hAnsi="Times New Roman" w:cs="Times New Roman"/>
          <w:sz w:val="24"/>
          <w:szCs w:val="24"/>
          <w:lang w:val="en-GB"/>
        </w:rPr>
        <w:t xml:space="preserve"> from the Serbian Business Register Agency website)</w:t>
      </w:r>
    </w:p>
    <w:p w:rsidR="00056F91" w:rsidRPr="00DC11FE" w:rsidRDefault="00DC11FE" w:rsidP="00F307E5">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List of c</w:t>
      </w:r>
      <w:r w:rsidR="00D30FC2" w:rsidRPr="00DC11FE">
        <w:rPr>
          <w:rFonts w:ascii="Times New Roman" w:hAnsi="Times New Roman" w:cs="Times New Roman"/>
          <w:sz w:val="24"/>
          <w:szCs w:val="24"/>
          <w:lang w:val="en-GB"/>
        </w:rPr>
        <w:t>ompany references relevant for this service contract</w:t>
      </w:r>
    </w:p>
    <w:p w:rsidR="00056F91" w:rsidRPr="00D300FD"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DC11FE" w:rsidRPr="00DC11FE">
        <w:rPr>
          <w:rFonts w:ascii="Times New Roman" w:hAnsi="Times New Roman" w:cs="Times New Roman"/>
          <w:sz w:val="24"/>
          <w:szCs w:val="24"/>
          <w:lang w:val="en-GB"/>
        </w:rPr>
        <w:t>Procurement services</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CF31F8" w:rsidRPr="00CF31F8">
        <w:rPr>
          <w:rFonts w:ascii="Times New Roman" w:hAnsi="Times New Roman" w:cs="Times New Roman"/>
          <w:sz w:val="24"/>
          <w:szCs w:val="24"/>
          <w:lang w:val="en-GB"/>
        </w:rPr>
        <w:t>RORS00216/SBPB Vrsac/TD1</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words: ‘’Not to be opened before the tender opening session’’ </w:t>
      </w:r>
      <w:r w:rsidR="00DC11FE">
        <w:rPr>
          <w:rFonts w:ascii="Times New Roman" w:hAnsi="Times New Roman" w:cs="Times New Roman"/>
          <w:sz w:val="24"/>
          <w:szCs w:val="24"/>
          <w:lang w:val="en-GB"/>
        </w:rPr>
        <w:t xml:space="preserve">and </w:t>
      </w:r>
      <w:r w:rsidRPr="00D300FD">
        <w:rPr>
          <w:rFonts w:ascii="Times New Roman" w:hAnsi="Times New Roman" w:cs="Times New Roman"/>
          <w:sz w:val="24"/>
          <w:szCs w:val="24"/>
          <w:lang w:val="en-GB"/>
        </w:rPr>
        <w:t>“</w:t>
      </w:r>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e otvarati pre sastanka za otvaranje</w:t>
      </w:r>
      <w:r w:rsidR="00DC11FE">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ponuda</w:t>
      </w:r>
      <w:r w:rsidR="00877379">
        <w:rPr>
          <w:rFonts w:ascii="Times New Roman" w:hAnsi="Times New Roman" w:cs="Times New Roman"/>
          <w:sz w:val="24"/>
          <w:szCs w:val="24"/>
          <w:lang w:val="en-GB"/>
        </w:rPr>
        <w:t>”</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DC11FE" w:rsidRPr="00E53649" w:rsidRDefault="00DC11FE" w:rsidP="00DC11FE">
      <w:pPr>
        <w:spacing w:after="0"/>
        <w:ind w:left="720"/>
        <w:jc w:val="both"/>
        <w:rPr>
          <w:rFonts w:ascii="Times New Roman" w:hAnsi="Times New Roman" w:cs="Times New Roman"/>
          <w:sz w:val="24"/>
          <w:szCs w:val="24"/>
          <w:highlight w:val="yellow"/>
          <w:lang w:val="en-GB"/>
        </w:rPr>
      </w:pPr>
      <w:r w:rsidRPr="00DE66B2">
        <w:rPr>
          <w:rFonts w:ascii="Times New Roman" w:hAnsi="Times New Roman" w:cs="Times New Roman"/>
          <w:sz w:val="24"/>
          <w:szCs w:val="24"/>
          <w:lang w:val="en-GB"/>
        </w:rPr>
        <w:t>Special hospital for psychiatric diseases “Dr.</w:t>
      </w:r>
      <w:r w:rsidR="00C5241E">
        <w:rPr>
          <w:rFonts w:ascii="Times New Roman" w:hAnsi="Times New Roman" w:cs="Times New Roman"/>
          <w:sz w:val="24"/>
          <w:szCs w:val="24"/>
          <w:lang w:val="en-GB"/>
        </w:rPr>
        <w:t xml:space="preserve"> </w:t>
      </w:r>
      <w:r w:rsidRPr="00DE66B2">
        <w:rPr>
          <w:rFonts w:ascii="Times New Roman" w:hAnsi="Times New Roman" w:cs="Times New Roman"/>
          <w:sz w:val="24"/>
          <w:szCs w:val="24"/>
          <w:lang w:val="en-GB"/>
        </w:rPr>
        <w:t>Slavoljub</w:t>
      </w:r>
      <w:r w:rsidR="00C5241E">
        <w:rPr>
          <w:rFonts w:ascii="Times New Roman" w:hAnsi="Times New Roman" w:cs="Times New Roman"/>
          <w:sz w:val="24"/>
          <w:szCs w:val="24"/>
          <w:lang w:val="en-GB"/>
        </w:rPr>
        <w:t xml:space="preserve"> </w:t>
      </w:r>
      <w:r w:rsidRPr="00DE66B2">
        <w:rPr>
          <w:rFonts w:ascii="Times New Roman" w:hAnsi="Times New Roman" w:cs="Times New Roman"/>
          <w:sz w:val="24"/>
          <w:szCs w:val="24"/>
          <w:lang w:val="en-GB"/>
        </w:rPr>
        <w:t>Bakalovic” Vrsac, Podvršanska 13, 26300 Vršac, Republic of Serbia</w:t>
      </w:r>
    </w:p>
    <w:p w:rsidR="00056F91" w:rsidRPr="00D300FD" w:rsidRDefault="00056F91" w:rsidP="00DC11FE">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4022D9">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C11FE" w:rsidRDefault="00DC11FE" w:rsidP="00855FE4">
      <w:pPr>
        <w:pStyle w:val="ListParagraph"/>
        <w:numPr>
          <w:ilvl w:val="1"/>
          <w:numId w:val="2"/>
        </w:numPr>
        <w:spacing w:after="0"/>
        <w:jc w:val="both"/>
        <w:rPr>
          <w:rFonts w:ascii="Times New Roman" w:hAnsi="Times New Roman" w:cs="Times New Roman"/>
          <w:sz w:val="24"/>
          <w:szCs w:val="24"/>
          <w:lang w:val="en-GB"/>
        </w:rPr>
      </w:pPr>
      <w:r w:rsidRPr="00DC11FE">
        <w:rPr>
          <w:rFonts w:ascii="Times New Roman" w:hAnsi="Times New Roman" w:cs="Times New Roman"/>
          <w:sz w:val="24"/>
          <w:szCs w:val="24"/>
          <w:lang w:val="en-GB"/>
        </w:rPr>
        <w:t>Activity 1: Procurements</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Default="00056F91" w:rsidP="00855FE4">
      <w:pPr>
        <w:spacing w:after="0"/>
        <w:jc w:val="both"/>
        <w:rPr>
          <w:rFonts w:ascii="Times New Roman" w:hAnsi="Times New Roman" w:cs="Times New Roman"/>
          <w:sz w:val="24"/>
          <w:szCs w:val="24"/>
          <w:lang w:val="en-GB"/>
        </w:rPr>
      </w:pPr>
      <w:r w:rsidRPr="00DC11FE">
        <w:rPr>
          <w:rFonts w:ascii="Times New Roman" w:hAnsi="Times New Roman" w:cs="Times New Roman"/>
          <w:sz w:val="24"/>
          <w:szCs w:val="24"/>
          <w:lang w:val="en-GB"/>
        </w:rPr>
        <w:t>Description of expected outputs</w:t>
      </w:r>
      <w:r w:rsidRPr="00DC11FE">
        <w:rPr>
          <w:rFonts w:ascii="Times New Roman" w:hAnsi="Times New Roman" w:cs="Times New Roman"/>
          <w:sz w:val="24"/>
          <w:szCs w:val="24"/>
          <w:u w:val="single"/>
          <w:lang w:val="en-GB"/>
        </w:rPr>
        <w:t xml:space="preserve"> /</w:t>
      </w:r>
      <w:r w:rsidRPr="00DC11FE">
        <w:rPr>
          <w:rFonts w:ascii="Times New Roman" w:hAnsi="Times New Roman" w:cs="Times New Roman"/>
          <w:sz w:val="24"/>
          <w:szCs w:val="24"/>
          <w:lang w:val="en-GB"/>
        </w:rPr>
        <w:t xml:space="preserve"> results to be achieved</w:t>
      </w:r>
    </w:p>
    <w:p w:rsidR="00D90141" w:rsidRPr="00DC11FE" w:rsidRDefault="00D90141" w:rsidP="00855FE4">
      <w:pPr>
        <w:spacing w:after="0"/>
        <w:jc w:val="both"/>
        <w:rPr>
          <w:rFonts w:ascii="Times New Roman" w:hAnsi="Times New Roman" w:cs="Times New Roman"/>
          <w:sz w:val="24"/>
          <w:szCs w:val="24"/>
          <w:u w:val="single"/>
          <w:lang w:val="en-GB"/>
        </w:rPr>
      </w:pPr>
    </w:p>
    <w:p w:rsidR="00DC11FE" w:rsidRDefault="00DC11FE" w:rsidP="00DC11FE">
      <w:pPr>
        <w:spacing w:after="0"/>
        <w:jc w:val="both"/>
        <w:rPr>
          <w:rFonts w:ascii="Times New Roman" w:hAnsi="Times New Roman"/>
        </w:rPr>
      </w:pPr>
      <w:r>
        <w:rPr>
          <w:rFonts w:ascii="Times New Roman" w:hAnsi="Times New Roman"/>
        </w:rPr>
        <w:t xml:space="preserve">The Contractor will prepare the complete documentation to each procedure including the documents, which will be sent to the applicants, the evaluation methodology and the letters for successful and unsuccessful applicants, award notices etc. </w:t>
      </w:r>
    </w:p>
    <w:p w:rsidR="00DC11FE" w:rsidRDefault="00DC11FE" w:rsidP="00DC11FE">
      <w:pPr>
        <w:spacing w:after="0"/>
        <w:jc w:val="both"/>
        <w:rPr>
          <w:rFonts w:ascii="Times New Roman" w:hAnsi="Times New Roman" w:cs="Times New Roman"/>
        </w:rPr>
      </w:pPr>
      <w:r>
        <w:rPr>
          <w:rFonts w:ascii="Times New Roman" w:hAnsi="Times New Roman"/>
        </w:rPr>
        <w:t>The Contractor will work closely with the project management unit</w:t>
      </w:r>
      <w:r w:rsidRPr="00667F2B">
        <w:rPr>
          <w:rFonts w:ascii="Times New Roman" w:hAnsi="Times New Roman" w:cs="Times New Roman"/>
        </w:rPr>
        <w:t>, also the Con</w:t>
      </w:r>
      <w:r>
        <w:rPr>
          <w:rFonts w:ascii="Times New Roman" w:hAnsi="Times New Roman" w:cs="Times New Roman"/>
        </w:rPr>
        <w:t>tractor</w:t>
      </w:r>
      <w:r w:rsidRPr="00667F2B">
        <w:rPr>
          <w:rFonts w:ascii="Times New Roman" w:hAnsi="Times New Roman" w:cs="Times New Roman"/>
        </w:rPr>
        <w:t xml:space="preserve"> communicates with the National Authority regarding procurement issues</w:t>
      </w:r>
      <w:r>
        <w:rPr>
          <w:rFonts w:ascii="Times New Roman" w:hAnsi="Times New Roman" w:cs="Times New Roman"/>
        </w:rPr>
        <w:t xml:space="preserve">. The single tender procedures should be made according the Programme rules, </w:t>
      </w:r>
      <w:r w:rsidR="00C5241E">
        <w:rPr>
          <w:rFonts w:ascii="Times New Roman" w:hAnsi="Times New Roman" w:cs="Times New Roman"/>
        </w:rPr>
        <w:t xml:space="preserve">and </w:t>
      </w:r>
      <w:r w:rsidR="00A07B2F">
        <w:rPr>
          <w:rFonts w:ascii="Times New Roman" w:hAnsi="Times New Roman" w:cs="Times New Roman"/>
        </w:rPr>
        <w:t>simplified,</w:t>
      </w:r>
      <w:r>
        <w:rPr>
          <w:rFonts w:ascii="Times New Roman" w:hAnsi="Times New Roman" w:cs="Times New Roman"/>
        </w:rPr>
        <w:t xml:space="preserve"> Local Open</w:t>
      </w:r>
      <w:r w:rsidR="00A07B2F">
        <w:rPr>
          <w:rFonts w:ascii="Times New Roman" w:hAnsi="Times New Roman" w:cs="Times New Roman"/>
        </w:rPr>
        <w:t xml:space="preserve"> </w:t>
      </w:r>
      <w:r>
        <w:rPr>
          <w:rFonts w:ascii="Times New Roman" w:hAnsi="Times New Roman" w:cs="Times New Roman"/>
        </w:rPr>
        <w:t>in according Prag 2021.1 and Programme rules. (Interreg IPA CBC Romania Serbia).</w:t>
      </w:r>
    </w:p>
    <w:p w:rsidR="00DC11FE" w:rsidRPr="00667F2B" w:rsidRDefault="00DC11FE" w:rsidP="00DC11FE">
      <w:pPr>
        <w:spacing w:after="0"/>
        <w:jc w:val="both"/>
        <w:rPr>
          <w:rFonts w:ascii="Times New Roman" w:hAnsi="Times New Roman" w:cs="Times New Roman"/>
        </w:rPr>
      </w:pPr>
      <w:r>
        <w:rPr>
          <w:rFonts w:ascii="Times New Roman" w:hAnsi="Times New Roman" w:cs="Times New Roman"/>
        </w:rPr>
        <w:t>If required by Contracting Authority Consultant should provide expert for Evaluation Commitee during evaluation of tenders.</w:t>
      </w:r>
    </w:p>
    <w:p w:rsidR="00DC11FE" w:rsidRDefault="00DC11FE" w:rsidP="00DC11FE">
      <w:pPr>
        <w:spacing w:after="0"/>
        <w:jc w:val="both"/>
        <w:rPr>
          <w:rFonts w:ascii="Times New Roman" w:hAnsi="Times New Roman"/>
        </w:rPr>
      </w:pPr>
    </w:p>
    <w:p w:rsidR="00056F91" w:rsidRPr="00D300FD" w:rsidRDefault="00DC11FE" w:rsidP="00DC11FE">
      <w:pPr>
        <w:spacing w:after="0"/>
        <w:jc w:val="both"/>
        <w:rPr>
          <w:rFonts w:ascii="Times New Roman" w:hAnsi="Times New Roman" w:cs="Times New Roman"/>
          <w:i/>
          <w:iCs/>
          <w:sz w:val="24"/>
          <w:szCs w:val="24"/>
          <w:lang w:val="en-GB"/>
        </w:rPr>
      </w:pPr>
      <w:r>
        <w:rPr>
          <w:rFonts w:ascii="Times New Roman" w:hAnsi="Times New Roman"/>
        </w:rPr>
        <w:t xml:space="preserve">The following procurement procedures are foreseen: </w:t>
      </w:r>
      <w:r w:rsidR="0025185A">
        <w:rPr>
          <w:rFonts w:ascii="Times New Roman" w:hAnsi="Times New Roman"/>
        </w:rPr>
        <w:t>4</w:t>
      </w:r>
      <w:r>
        <w:rPr>
          <w:rFonts w:ascii="Times New Roman" w:hAnsi="Times New Roman"/>
        </w:rPr>
        <w:t xml:space="preserve"> single services tender procedures</w:t>
      </w:r>
      <w:r w:rsidR="0025185A">
        <w:rPr>
          <w:rFonts w:ascii="Times New Roman" w:hAnsi="Times New Roman"/>
        </w:rPr>
        <w:t xml:space="preserve">, </w:t>
      </w:r>
      <w:r>
        <w:rPr>
          <w:rFonts w:ascii="Times New Roman" w:hAnsi="Times New Roman"/>
        </w:rPr>
        <w:t>1 Local Open (works)</w:t>
      </w:r>
      <w:r w:rsidR="00AC1790">
        <w:rPr>
          <w:rFonts w:ascii="Times New Roman" w:hAnsi="Times New Roman"/>
        </w:rPr>
        <w:t xml:space="preserve"> and </w:t>
      </w:r>
      <w:r w:rsidR="0025185A">
        <w:rPr>
          <w:rFonts w:ascii="Times New Roman" w:hAnsi="Times New Roman"/>
        </w:rPr>
        <w:t xml:space="preserve">1 Local Open </w:t>
      </w:r>
      <w:r w:rsidR="00AC1790">
        <w:rPr>
          <w:rFonts w:ascii="Times New Roman" w:hAnsi="Times New Roman"/>
        </w:rPr>
        <w:t xml:space="preserve"> (supply)</w:t>
      </w:r>
      <w:r>
        <w:rPr>
          <w:rFonts w:ascii="Times New Roman" w:hAnsi="Times New Roman"/>
        </w:rPr>
        <w:t>.</w:t>
      </w:r>
    </w:p>
    <w:p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9F075D" w:rsidRDefault="00056F91" w:rsidP="00855FE4">
      <w:pPr>
        <w:spacing w:after="0"/>
        <w:jc w:val="both"/>
        <w:rPr>
          <w:rFonts w:ascii="Times New Roman" w:hAnsi="Times New Roman" w:cs="Times New Roman"/>
          <w:sz w:val="24"/>
          <w:szCs w:val="24"/>
          <w:lang w:val="en-GB"/>
        </w:rPr>
      </w:pPr>
      <w:r w:rsidRPr="009F075D">
        <w:rPr>
          <w:rFonts w:ascii="Times New Roman" w:hAnsi="Times New Roman" w:cs="Times New Roman"/>
          <w:sz w:val="24"/>
          <w:szCs w:val="24"/>
          <w:lang w:val="en-GB"/>
        </w:rPr>
        <w:t>Required inputs</w:t>
      </w:r>
    </w:p>
    <w:p w:rsidR="00056F91" w:rsidRPr="009F075D" w:rsidRDefault="00AC1790" w:rsidP="00855FE4">
      <w:pPr>
        <w:spacing w:after="0"/>
        <w:jc w:val="both"/>
        <w:rPr>
          <w:rFonts w:ascii="Times New Roman" w:hAnsi="Times New Roman" w:cs="Times New Roman"/>
          <w:i/>
          <w:iCs/>
          <w:sz w:val="24"/>
          <w:szCs w:val="24"/>
          <w:lang w:val="en-GB"/>
        </w:rPr>
      </w:pPr>
      <w:r w:rsidRPr="009F075D">
        <w:rPr>
          <w:rFonts w:ascii="Times New Roman" w:hAnsi="Times New Roman" w:cs="Times New Roman"/>
          <w:iCs/>
          <w:sz w:val="24"/>
          <w:szCs w:val="24"/>
          <w:lang w:val="en-GB"/>
        </w:rPr>
        <w:t>Key expert with specific experience in public procurement.</w:t>
      </w:r>
    </w:p>
    <w:p w:rsidR="00056F91" w:rsidRPr="009F075D" w:rsidRDefault="00056F91" w:rsidP="00855FE4">
      <w:pPr>
        <w:pStyle w:val="ListParagraph"/>
        <w:spacing w:after="0"/>
        <w:jc w:val="both"/>
        <w:rPr>
          <w:rFonts w:ascii="Times New Roman" w:hAnsi="Times New Roman" w:cs="Times New Roman"/>
          <w:i/>
          <w:iCs/>
          <w:sz w:val="24"/>
          <w:szCs w:val="24"/>
          <w:lang w:val="en-GB"/>
        </w:rPr>
      </w:pPr>
    </w:p>
    <w:p w:rsidR="00056F91" w:rsidRPr="009F075D" w:rsidRDefault="00056F91" w:rsidP="00855FE4">
      <w:pPr>
        <w:spacing w:after="0"/>
        <w:jc w:val="both"/>
        <w:rPr>
          <w:rFonts w:ascii="Times New Roman" w:hAnsi="Times New Roman" w:cs="Times New Roman"/>
          <w:sz w:val="24"/>
          <w:szCs w:val="24"/>
          <w:lang w:val="en-GB"/>
        </w:rPr>
      </w:pPr>
      <w:r w:rsidRPr="009F075D">
        <w:rPr>
          <w:rFonts w:ascii="Times New Roman" w:hAnsi="Times New Roman" w:cs="Times New Roman"/>
          <w:sz w:val="24"/>
          <w:szCs w:val="24"/>
          <w:lang w:val="en-GB"/>
        </w:rPr>
        <w:t>Required time frame</w:t>
      </w:r>
    </w:p>
    <w:p w:rsidR="00056F91" w:rsidRPr="00D300FD" w:rsidRDefault="00CF31F8"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April</w:t>
      </w:r>
      <w:r w:rsidR="009F075D" w:rsidRPr="009F075D">
        <w:rPr>
          <w:rFonts w:ascii="Times New Roman" w:hAnsi="Times New Roman" w:cs="Times New Roman"/>
          <w:i/>
          <w:iCs/>
          <w:sz w:val="24"/>
          <w:szCs w:val="24"/>
          <w:lang w:val="en-GB"/>
        </w:rPr>
        <w:t xml:space="preserve"> 2024-</w:t>
      </w:r>
      <w:r>
        <w:rPr>
          <w:rFonts w:ascii="Times New Roman" w:hAnsi="Times New Roman" w:cs="Times New Roman"/>
          <w:i/>
          <w:iCs/>
          <w:sz w:val="24"/>
          <w:szCs w:val="24"/>
          <w:lang w:val="en-GB"/>
        </w:rPr>
        <w:t>June</w:t>
      </w:r>
      <w:r w:rsidR="009F075D" w:rsidRPr="009F075D">
        <w:rPr>
          <w:rFonts w:ascii="Times New Roman" w:hAnsi="Times New Roman" w:cs="Times New Roman"/>
          <w:i/>
          <w:iCs/>
          <w:sz w:val="24"/>
          <w:szCs w:val="24"/>
          <w:lang w:val="en-GB"/>
        </w:rPr>
        <w:t xml:space="preserve"> 2025</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rPr>
      </w:pPr>
    </w:p>
    <w:p w:rsidR="00056F91" w:rsidRPr="00D300FD"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9F075D" w:rsidRDefault="009F075D" w:rsidP="00855FE4">
      <w:pPr>
        <w:spacing w:after="0"/>
        <w:jc w:val="both"/>
        <w:rPr>
          <w:rFonts w:ascii="Times New Roman" w:hAnsi="Times New Roman" w:cs="Times New Roman"/>
          <w:sz w:val="24"/>
          <w:szCs w:val="24"/>
        </w:rPr>
      </w:pPr>
    </w:p>
    <w:p w:rsidR="009F075D" w:rsidRPr="00D300FD" w:rsidRDefault="009F075D" w:rsidP="00855FE4">
      <w:pPr>
        <w:spacing w:after="0"/>
        <w:jc w:val="both"/>
        <w:rPr>
          <w:rFonts w:ascii="Times New Roman" w:hAnsi="Times New Roman" w:cs="Times New Roman"/>
          <w:sz w:val="24"/>
          <w:szCs w:val="24"/>
        </w:rPr>
      </w:pPr>
    </w:p>
    <w:p w:rsidR="004B4D74" w:rsidRPr="00D300FD" w:rsidRDefault="004B4D74" w:rsidP="00855FE4">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9166"/>
      </w:tblGrid>
      <w:tr w:rsidR="004B4D74" w:rsidRPr="00D300FD" w:rsidTr="00042432">
        <w:trPr>
          <w:trHeight w:val="592"/>
        </w:trPr>
        <w:tc>
          <w:tcPr>
            <w:tcW w:w="9166" w:type="dxa"/>
          </w:tcPr>
          <w:p w:rsidR="004B4D74" w:rsidRPr="00D300FD" w:rsidRDefault="004B4D74" w:rsidP="00042432">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rsidR="004B4D74" w:rsidRPr="00D300FD" w:rsidRDefault="004B4D74" w:rsidP="00042432">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8E4283" w:rsidRPr="008E4283">
        <w:rPr>
          <w:rFonts w:ascii="Times New Roman" w:hAnsi="Times New Roman" w:cs="Times New Roman"/>
          <w:sz w:val="24"/>
          <w:szCs w:val="24"/>
          <w:lang w:val="en-GB"/>
        </w:rPr>
        <w:t>Procurement services</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CF31F8" w:rsidRPr="00CF31F8">
        <w:rPr>
          <w:rFonts w:ascii="Times New Roman" w:hAnsi="Times New Roman" w:cs="Times New Roman"/>
          <w:sz w:val="24"/>
          <w:szCs w:val="24"/>
          <w:lang w:val="en-GB"/>
        </w:rPr>
        <w:t>RORS00216/SBPB Vrsac/TD1</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8E4283" w:rsidRDefault="008E4283" w:rsidP="008E4283">
      <w:pPr>
        <w:spacing w:after="0"/>
        <w:jc w:val="both"/>
        <w:rPr>
          <w:rFonts w:ascii="Times New Roman" w:hAnsi="Times New Roman" w:cs="Times New Roman"/>
          <w:i/>
          <w:iCs/>
          <w:sz w:val="24"/>
          <w:szCs w:val="24"/>
          <w:lang w:val="en-GB"/>
        </w:rPr>
      </w:pPr>
      <w:r w:rsidRPr="00DE66B2">
        <w:rPr>
          <w:rFonts w:ascii="Times New Roman" w:hAnsi="Times New Roman" w:cs="Times New Roman"/>
          <w:i/>
          <w:iCs/>
          <w:sz w:val="24"/>
          <w:szCs w:val="24"/>
          <w:lang w:val="en-GB"/>
        </w:rPr>
        <w:t xml:space="preserve">Special hospital for psychiatric diseases “Dr.SlavoljubBakalovic” Vrsac, </w:t>
      </w:r>
    </w:p>
    <w:p w:rsidR="00056F91" w:rsidRPr="00D300FD" w:rsidRDefault="008E4283" w:rsidP="008E4283">
      <w:pPr>
        <w:spacing w:after="0"/>
        <w:jc w:val="both"/>
        <w:rPr>
          <w:rFonts w:ascii="Times New Roman" w:hAnsi="Times New Roman" w:cs="Times New Roman"/>
          <w:sz w:val="24"/>
          <w:szCs w:val="24"/>
          <w:highlight w:val="yellow"/>
          <w:lang w:val="en-GB"/>
        </w:rPr>
      </w:pPr>
      <w:r w:rsidRPr="00DE66B2">
        <w:rPr>
          <w:rFonts w:ascii="Times New Roman" w:hAnsi="Times New Roman" w:cs="Times New Roman"/>
          <w:i/>
          <w:iCs/>
          <w:sz w:val="24"/>
          <w:szCs w:val="24"/>
          <w:lang w:val="en-GB"/>
        </w:rPr>
        <w:t>Podvršanska 13, 26300 Vršac, Republic of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8E4283">
        <w:rPr>
          <w:rFonts w:ascii="Times New Roman" w:hAnsi="Times New Roman" w:cs="Times New Roman"/>
          <w:sz w:val="24"/>
          <w:szCs w:val="24"/>
          <w:lang w:val="en-GB"/>
        </w:rPr>
        <w:t>p</w:t>
      </w:r>
      <w:r w:rsidR="008E4283" w:rsidRPr="008E4283">
        <w:rPr>
          <w:rFonts w:ascii="Times New Roman" w:hAnsi="Times New Roman" w:cs="Times New Roman"/>
          <w:sz w:val="24"/>
          <w:szCs w:val="24"/>
          <w:lang w:val="en-GB"/>
        </w:rPr>
        <w:t>rocurement services</w:t>
      </w:r>
      <w:r w:rsidR="008E4283"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E4283">
        <w:rPr>
          <w:rFonts w:ascii="Times New Roman" w:hAnsi="Times New Roman" w:cs="Times New Roman"/>
          <w:sz w:val="24"/>
          <w:szCs w:val="24"/>
          <w:highlight w:val="yellow"/>
        </w:rPr>
        <w:t>RSD</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For this contract </w:t>
      </w:r>
      <w:r w:rsidRPr="008E4283">
        <w:rPr>
          <w:rFonts w:ascii="Times New Roman" w:hAnsi="Times New Roman" w:cs="Times New Roman"/>
          <w:sz w:val="24"/>
          <w:szCs w:val="24"/>
          <w:lang w:val="en-US"/>
        </w:rPr>
        <w:t>VAT is eligible</w:t>
      </w:r>
      <w:r w:rsidR="008E4283" w:rsidRPr="008E4283">
        <w:rPr>
          <w:rFonts w:ascii="Times New Roman" w:hAnsi="Times New Roman" w:cs="Times New Roman"/>
          <w:sz w:val="24"/>
          <w:szCs w:val="24"/>
          <w:lang w:val="en-US"/>
        </w:rPr>
        <w:t xml:space="preserve"> </w:t>
      </w:r>
      <w:r w:rsidRPr="008E4283">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rsidR="00056F91" w:rsidRPr="00D300FD" w:rsidRDefault="0028424D" w:rsidP="002C3A25">
      <w:pPr>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Contractor’s financial offer –“</w:t>
      </w:r>
      <w:r w:rsidR="00056F91" w:rsidRPr="00D300FD">
        <w:rPr>
          <w:rFonts w:ascii="Times New Roman" w:hAnsi="Times New Roman" w:cs="Times New Roman"/>
          <w:sz w:val="24"/>
          <w:szCs w:val="24"/>
          <w:lang w:val="en-GB"/>
        </w:rPr>
        <w:t>Part C:</w:t>
      </w:r>
      <w:r>
        <w:rPr>
          <w:rFonts w:ascii="Times New Roman" w:hAnsi="Times New Roman" w:cs="Times New Roman"/>
          <w:sz w:val="24"/>
          <w:szCs w:val="24"/>
          <w:lang w:val="en-GB"/>
        </w:rPr>
        <w:t xml:space="preserve"> </w:t>
      </w:r>
      <w:bookmarkStart w:id="0" w:name="_GoBack"/>
      <w:bookmarkEnd w:id="0"/>
      <w:r w:rsidR="00056F91" w:rsidRPr="00D300FD">
        <w:rPr>
          <w:rFonts w:ascii="Times New Roman" w:hAnsi="Times New Roman" w:cs="Times New Roman"/>
          <w:sz w:val="24"/>
          <w:szCs w:val="24"/>
          <w:lang w:val="en-GB"/>
        </w:rPr>
        <w:t>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665"/>
        <w:gridCol w:w="1211"/>
        <w:gridCol w:w="7450"/>
      </w:tblGrid>
      <w:tr w:rsidR="00D300FD" w:rsidRPr="00D300FD"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904D72">
            <w:pPr>
              <w:wordWrap w:val="0"/>
              <w:rPr>
                <w:rFonts w:ascii="Times New Roman" w:hAnsi="Times New Roman" w:cs="Times New Roman"/>
                <w:sz w:val="24"/>
                <w:szCs w:val="24"/>
              </w:rPr>
            </w:pPr>
            <w:hyperlink r:id="rId9"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904D72" w:rsidP="00855FE4">
      <w:pPr>
        <w:spacing w:after="0"/>
        <w:jc w:val="both"/>
        <w:rPr>
          <w:rFonts w:ascii="Times New Roman" w:hAnsi="Times New Roman" w:cs="Times New Roman"/>
          <w:sz w:val="24"/>
          <w:szCs w:val="24"/>
          <w:lang w:val="en-GB"/>
        </w:rPr>
      </w:pPr>
      <w:hyperlink r:id="rId10"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trPr>
          <w:cantSplit/>
          <w:trHeight w:val="345"/>
        </w:trPr>
        <w:tc>
          <w:tcPr>
            <w:tcW w:w="1728" w:type="dxa"/>
            <w:tcBorders>
              <w:top w:val="single" w:sz="4" w:space="0" w:color="auto"/>
            </w:tcBorders>
          </w:tcPr>
          <w:p w:rsidR="00056F91" w:rsidRPr="008E4283" w:rsidRDefault="00056F91" w:rsidP="00855FE4">
            <w:pPr>
              <w:keepNext/>
              <w:spacing w:before="40" w:after="40"/>
              <w:jc w:val="center"/>
              <w:rPr>
                <w:rFonts w:ascii="Times New Roman" w:hAnsi="Times New Roman" w:cs="Times New Roman"/>
                <w:b/>
                <w:bCs/>
              </w:rPr>
            </w:pPr>
            <w:r w:rsidRPr="008E4283">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8E4283" w:rsidP="008E4283">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D300FD" w:rsidRPr="00D300FD">
        <w:trPr>
          <w:cantSplit/>
          <w:trHeight w:val="602"/>
        </w:trPr>
        <w:tc>
          <w:tcPr>
            <w:tcW w:w="1728" w:type="dxa"/>
            <w:tcBorders>
              <w:bottom w:val="nil"/>
            </w:tcBorders>
          </w:tcPr>
          <w:p w:rsidR="00056F91" w:rsidRPr="008E4283" w:rsidRDefault="0025185A" w:rsidP="00480F40">
            <w:pPr>
              <w:spacing w:before="40" w:after="40" w:line="240" w:lineRule="auto"/>
              <w:jc w:val="center"/>
              <w:rPr>
                <w:rFonts w:ascii="Times New Roman" w:hAnsi="Times New Roman" w:cs="Times New Roman"/>
              </w:rPr>
            </w:pPr>
            <w:r>
              <w:rPr>
                <w:rFonts w:ascii="Times New Roman" w:hAnsi="Times New Roman" w:cs="Times New Roman"/>
              </w:rPr>
              <w:t>8</w:t>
            </w:r>
          </w:p>
        </w:tc>
        <w:tc>
          <w:tcPr>
            <w:tcW w:w="4509" w:type="dxa"/>
            <w:tcBorders>
              <w:bottom w:val="nil"/>
            </w:tcBorders>
          </w:tcPr>
          <w:p w:rsidR="00056F91" w:rsidRPr="00D300FD" w:rsidRDefault="00056F91" w:rsidP="00480F40">
            <w:pPr>
              <w:spacing w:line="240" w:lineRule="auto"/>
              <w:ind w:left="567" w:hanging="567"/>
              <w:rPr>
                <w:rFonts w:ascii="Times New Roman" w:hAnsi="Times New Roman" w:cs="Times New Roman"/>
              </w:rPr>
            </w:pPr>
            <w:r w:rsidRPr="00D300FD">
              <w:rPr>
                <w:rFonts w:ascii="Times New Roman" w:hAnsi="Times New Roman" w:cs="Times New Roman"/>
              </w:rPr>
              <w:t xml:space="preserve">Interim payment </w:t>
            </w:r>
            <w:r w:rsidR="008E4283">
              <w:rPr>
                <w:rFonts w:ascii="Times New Roman" w:hAnsi="Times New Roman" w:cs="Times New Roman"/>
              </w:rPr>
              <w:t>after all tender dossiers are composed</w:t>
            </w:r>
          </w:p>
          <w:p w:rsidR="00056F91" w:rsidRPr="00D300FD"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D300FD" w:rsidRDefault="00056F91" w:rsidP="008E428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8E4283">
              <w:rPr>
                <w:rFonts w:ascii="Times New Roman" w:hAnsi="Times New Roman" w:cs="Times New Roman"/>
                <w:highlight w:val="yellow"/>
              </w:rPr>
              <w:t>80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tc>
      </w:tr>
      <w:tr w:rsidR="00D300FD" w:rsidRPr="00D300FD">
        <w:trPr>
          <w:cantSplit/>
          <w:trHeight w:val="809"/>
        </w:trPr>
        <w:tc>
          <w:tcPr>
            <w:tcW w:w="1728" w:type="dxa"/>
            <w:tcBorders>
              <w:bottom w:val="nil"/>
            </w:tcBorders>
          </w:tcPr>
          <w:p w:rsidR="00056F91" w:rsidRPr="008E4283" w:rsidRDefault="008E4283" w:rsidP="00480F40">
            <w:pPr>
              <w:spacing w:before="40" w:after="40" w:line="240" w:lineRule="auto"/>
              <w:jc w:val="center"/>
              <w:rPr>
                <w:rFonts w:ascii="Times New Roman" w:hAnsi="Times New Roman" w:cs="Times New Roman"/>
              </w:rPr>
            </w:pPr>
            <w:r w:rsidRPr="008E4283">
              <w:rPr>
                <w:rFonts w:ascii="Times New Roman" w:hAnsi="Times New Roman" w:cs="Times New Roman"/>
              </w:rPr>
              <w:t>14</w:t>
            </w:r>
          </w:p>
        </w:tc>
        <w:tc>
          <w:tcPr>
            <w:tcW w:w="4509" w:type="dxa"/>
            <w:tcBorders>
              <w:bottom w:val="nil"/>
            </w:tcBorders>
          </w:tcPr>
          <w:p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r w:rsidR="008E4283">
              <w:rPr>
                <w:rFonts w:ascii="Times New Roman" w:hAnsi="Times New Roman" w:cs="Times New Roman"/>
              </w:rPr>
              <w:t xml:space="preserve"> after all procurement procedures are finished</w:t>
            </w:r>
          </w:p>
        </w:tc>
        <w:tc>
          <w:tcPr>
            <w:tcW w:w="2781" w:type="dxa"/>
            <w:tcBorders>
              <w:bottom w:val="nil"/>
            </w:tcBorders>
          </w:tcPr>
          <w:p w:rsidR="00056F91" w:rsidRPr="00D300FD" w:rsidRDefault="008E4283"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20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trPr>
          <w:cantSplit/>
          <w:trHeight w:val="233"/>
        </w:trPr>
        <w:tc>
          <w:tcPr>
            <w:tcW w:w="1728" w:type="dxa"/>
            <w:tcBorders>
              <w:bottom w:val="single" w:sz="4" w:space="0" w:color="auto"/>
            </w:tcBorders>
            <w:shd w:val="pct10" w:color="auto" w:fill="FFFFFF"/>
          </w:tcPr>
          <w:p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contractor will provide contracting authority with the brief report on execution of the services, which will represent the basis for issuing interim and 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8E4283"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w:t>
      </w:r>
      <w:r w:rsidRPr="008E4283">
        <w:rPr>
          <w:rFonts w:ascii="Times New Roman" w:hAnsi="Times New Roman" w:cs="Times New Roman"/>
          <w:sz w:val="24"/>
          <w:szCs w:val="24"/>
          <w:lang w:val="en-GB"/>
        </w:rPr>
        <w:t xml:space="preserve">is </w:t>
      </w:r>
      <w:r w:rsidR="008E4283" w:rsidRPr="008E4283">
        <w:rPr>
          <w:rFonts w:ascii="Times New Roman" w:hAnsi="Times New Roman" w:cs="Times New Roman"/>
          <w:sz w:val="24"/>
          <w:szCs w:val="24"/>
          <w:lang w:val="en-GB"/>
        </w:rPr>
        <w:t xml:space="preserve">14 </w:t>
      </w:r>
      <w:r w:rsidRPr="008E4283">
        <w:rPr>
          <w:rFonts w:ascii="Times New Roman" w:hAnsi="Times New Roman" w:cs="Times New Roman"/>
          <w:sz w:val="24"/>
          <w:szCs w:val="24"/>
          <w:lang w:val="en-GB"/>
        </w:rPr>
        <w:t xml:space="preserve">months. </w:t>
      </w:r>
    </w:p>
    <w:p w:rsidR="00056F91" w:rsidRPr="00D300FD" w:rsidRDefault="00056F91" w:rsidP="00855FE4">
      <w:pPr>
        <w:spacing w:after="0"/>
        <w:jc w:val="both"/>
        <w:rPr>
          <w:rFonts w:ascii="Times New Roman" w:hAnsi="Times New Roman" w:cs="Times New Roman"/>
          <w:sz w:val="24"/>
          <w:szCs w:val="24"/>
          <w:lang w:val="en-GB"/>
        </w:rPr>
      </w:pPr>
      <w:r w:rsidRPr="008E4283">
        <w:rPr>
          <w:rFonts w:ascii="Times New Roman" w:hAnsi="Times New Roman" w:cs="Times New Roman"/>
          <w:sz w:val="24"/>
          <w:szCs w:val="24"/>
          <w:lang w:val="en-GB"/>
        </w:rPr>
        <w:t xml:space="preserve">Commencement date </w:t>
      </w:r>
      <w:r w:rsidR="008E4283" w:rsidRPr="008E4283">
        <w:rPr>
          <w:rFonts w:ascii="Times New Roman" w:hAnsi="Times New Roman" w:cs="Times New Roman"/>
          <w:sz w:val="24"/>
          <w:szCs w:val="24"/>
          <w:lang w:val="en-GB"/>
        </w:rPr>
        <w:t>is date of signature</w:t>
      </w:r>
      <w:r w:rsidR="008E4283" w:rsidRPr="00816D8D">
        <w:rPr>
          <w:rFonts w:ascii="Times New Roman" w:hAnsi="Times New Roman" w:cs="Times New Roman"/>
          <w:sz w:val="24"/>
          <w:szCs w:val="24"/>
          <w:lang w:val="en-GB"/>
        </w:rPr>
        <w:t xml:space="preserve"> of the contract by both parties</w:t>
      </w:r>
      <w:r w:rsidR="008E4283">
        <w:rPr>
          <w:rFonts w:ascii="Times New Roman" w:hAnsi="Times New Roman" w:cs="Times New Roman"/>
          <w:sz w:val="24"/>
          <w:szCs w:val="24"/>
          <w:lang w:val="en-GB"/>
        </w:rPr>
        <w: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8E4283">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D72" w:rsidRDefault="00904D72" w:rsidP="002D4560">
      <w:pPr>
        <w:spacing w:after="0" w:line="240" w:lineRule="auto"/>
      </w:pPr>
      <w:r>
        <w:separator/>
      </w:r>
    </w:p>
  </w:endnote>
  <w:endnote w:type="continuationSeparator" w:id="0">
    <w:p w:rsidR="00904D72" w:rsidRDefault="00904D72"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F91" w:rsidRDefault="00056F91">
    <w:pPr>
      <w:pStyle w:val="Footer"/>
      <w:jc w:val="right"/>
    </w:pPr>
    <w:r>
      <w:t xml:space="preserve">Page </w:t>
    </w:r>
    <w:r w:rsidR="009942AC">
      <w:rPr>
        <w:b/>
        <w:bCs/>
      </w:rPr>
      <w:fldChar w:fldCharType="begin"/>
    </w:r>
    <w:r>
      <w:rPr>
        <w:b/>
        <w:bCs/>
      </w:rPr>
      <w:instrText xml:space="preserve"> PAGE </w:instrText>
    </w:r>
    <w:r w:rsidR="009942AC">
      <w:rPr>
        <w:b/>
        <w:bCs/>
      </w:rPr>
      <w:fldChar w:fldCharType="separate"/>
    </w:r>
    <w:r w:rsidR="0028424D">
      <w:rPr>
        <w:b/>
        <w:bCs/>
        <w:noProof/>
      </w:rPr>
      <w:t>6</w:t>
    </w:r>
    <w:r w:rsidR="009942AC">
      <w:rPr>
        <w:b/>
        <w:bCs/>
      </w:rPr>
      <w:fldChar w:fldCharType="end"/>
    </w:r>
    <w:r>
      <w:t xml:space="preserve"> of </w:t>
    </w:r>
    <w:r w:rsidR="009942AC">
      <w:rPr>
        <w:b/>
        <w:bCs/>
      </w:rPr>
      <w:fldChar w:fldCharType="begin"/>
    </w:r>
    <w:r>
      <w:rPr>
        <w:b/>
        <w:bCs/>
      </w:rPr>
      <w:instrText xml:space="preserve"> NUMPAGES  </w:instrText>
    </w:r>
    <w:r w:rsidR="009942AC">
      <w:rPr>
        <w:b/>
        <w:bCs/>
      </w:rPr>
      <w:fldChar w:fldCharType="separate"/>
    </w:r>
    <w:r w:rsidR="0028424D">
      <w:rPr>
        <w:b/>
        <w:bCs/>
        <w:noProof/>
      </w:rPr>
      <w:t>7</w:t>
    </w:r>
    <w:r w:rsidR="009942AC">
      <w:rPr>
        <w:b/>
        <w:bCs/>
      </w:rPr>
      <w:fldChar w:fldCharType="end"/>
    </w:r>
  </w:p>
  <w:p w:rsidR="00056F91" w:rsidRDefault="00056F9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D72" w:rsidRDefault="00904D72" w:rsidP="002D4560">
      <w:pPr>
        <w:spacing w:after="0" w:line="240" w:lineRule="auto"/>
      </w:pPr>
      <w:r>
        <w:separator/>
      </w:r>
    </w:p>
  </w:footnote>
  <w:footnote w:type="continuationSeparator" w:id="0">
    <w:p w:rsidR="00904D72" w:rsidRDefault="00904D72"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2ABE"/>
    <w:rsid w:val="00017F87"/>
    <w:rsid w:val="000227D0"/>
    <w:rsid w:val="00027C0E"/>
    <w:rsid w:val="00033549"/>
    <w:rsid w:val="0003702F"/>
    <w:rsid w:val="00042432"/>
    <w:rsid w:val="00044B01"/>
    <w:rsid w:val="00051436"/>
    <w:rsid w:val="00056F91"/>
    <w:rsid w:val="00066332"/>
    <w:rsid w:val="00084AAA"/>
    <w:rsid w:val="0009046E"/>
    <w:rsid w:val="00092819"/>
    <w:rsid w:val="000A28B4"/>
    <w:rsid w:val="000A3227"/>
    <w:rsid w:val="000C2129"/>
    <w:rsid w:val="000C425B"/>
    <w:rsid w:val="000C4C84"/>
    <w:rsid w:val="000D2777"/>
    <w:rsid w:val="000D65DB"/>
    <w:rsid w:val="000E482C"/>
    <w:rsid w:val="000E7F75"/>
    <w:rsid w:val="000F37C3"/>
    <w:rsid w:val="00142DE2"/>
    <w:rsid w:val="001432C6"/>
    <w:rsid w:val="001543EB"/>
    <w:rsid w:val="00162408"/>
    <w:rsid w:val="00164B89"/>
    <w:rsid w:val="00176F2F"/>
    <w:rsid w:val="00177029"/>
    <w:rsid w:val="00177666"/>
    <w:rsid w:val="00183561"/>
    <w:rsid w:val="00192996"/>
    <w:rsid w:val="001931CC"/>
    <w:rsid w:val="001A1D5D"/>
    <w:rsid w:val="001A2EE3"/>
    <w:rsid w:val="001C00CE"/>
    <w:rsid w:val="001C0F2E"/>
    <w:rsid w:val="001C4DF7"/>
    <w:rsid w:val="001C6849"/>
    <w:rsid w:val="001C6856"/>
    <w:rsid w:val="001D2641"/>
    <w:rsid w:val="001D4D49"/>
    <w:rsid w:val="001E7C12"/>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185A"/>
    <w:rsid w:val="00252A8A"/>
    <w:rsid w:val="00264F74"/>
    <w:rsid w:val="00273445"/>
    <w:rsid w:val="00275D40"/>
    <w:rsid w:val="0028216F"/>
    <w:rsid w:val="0028424D"/>
    <w:rsid w:val="00291901"/>
    <w:rsid w:val="002951A0"/>
    <w:rsid w:val="00296DF4"/>
    <w:rsid w:val="002A135E"/>
    <w:rsid w:val="002A67F7"/>
    <w:rsid w:val="002A6889"/>
    <w:rsid w:val="002C0E71"/>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6991"/>
    <w:rsid w:val="00401340"/>
    <w:rsid w:val="004022D9"/>
    <w:rsid w:val="004033C8"/>
    <w:rsid w:val="00442EF7"/>
    <w:rsid w:val="004450F9"/>
    <w:rsid w:val="0045071E"/>
    <w:rsid w:val="00451859"/>
    <w:rsid w:val="00460BE0"/>
    <w:rsid w:val="00463929"/>
    <w:rsid w:val="004672BE"/>
    <w:rsid w:val="00477040"/>
    <w:rsid w:val="00480F40"/>
    <w:rsid w:val="00492975"/>
    <w:rsid w:val="004B26C1"/>
    <w:rsid w:val="004B4D74"/>
    <w:rsid w:val="004B5033"/>
    <w:rsid w:val="004B5768"/>
    <w:rsid w:val="004B66CE"/>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D51F2"/>
    <w:rsid w:val="005E7112"/>
    <w:rsid w:val="005F5B17"/>
    <w:rsid w:val="006000F6"/>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12C3F"/>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3118"/>
    <w:rsid w:val="00784F27"/>
    <w:rsid w:val="0078754D"/>
    <w:rsid w:val="0079059C"/>
    <w:rsid w:val="007A32C9"/>
    <w:rsid w:val="007A64FD"/>
    <w:rsid w:val="007C4238"/>
    <w:rsid w:val="007C561E"/>
    <w:rsid w:val="007E076A"/>
    <w:rsid w:val="007E3B2A"/>
    <w:rsid w:val="007E6E1D"/>
    <w:rsid w:val="00803DB2"/>
    <w:rsid w:val="008100D1"/>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E03CE"/>
    <w:rsid w:val="008E3CC5"/>
    <w:rsid w:val="008E4283"/>
    <w:rsid w:val="009010BE"/>
    <w:rsid w:val="0090225D"/>
    <w:rsid w:val="00904D72"/>
    <w:rsid w:val="0091606D"/>
    <w:rsid w:val="00921775"/>
    <w:rsid w:val="009232FB"/>
    <w:rsid w:val="00925193"/>
    <w:rsid w:val="00937AA4"/>
    <w:rsid w:val="00951DFE"/>
    <w:rsid w:val="00956630"/>
    <w:rsid w:val="00963CA3"/>
    <w:rsid w:val="00964939"/>
    <w:rsid w:val="0096743C"/>
    <w:rsid w:val="00972166"/>
    <w:rsid w:val="00980D47"/>
    <w:rsid w:val="00983940"/>
    <w:rsid w:val="0099045A"/>
    <w:rsid w:val="009942AC"/>
    <w:rsid w:val="00994566"/>
    <w:rsid w:val="009B5048"/>
    <w:rsid w:val="009B5C6A"/>
    <w:rsid w:val="009C0523"/>
    <w:rsid w:val="009F075D"/>
    <w:rsid w:val="009F0C26"/>
    <w:rsid w:val="009F2CC0"/>
    <w:rsid w:val="009F495C"/>
    <w:rsid w:val="00A0258F"/>
    <w:rsid w:val="00A07B2F"/>
    <w:rsid w:val="00A1769B"/>
    <w:rsid w:val="00A17FBD"/>
    <w:rsid w:val="00A22EB9"/>
    <w:rsid w:val="00A40762"/>
    <w:rsid w:val="00A408C1"/>
    <w:rsid w:val="00A44BC4"/>
    <w:rsid w:val="00A46126"/>
    <w:rsid w:val="00A46E3A"/>
    <w:rsid w:val="00A5186E"/>
    <w:rsid w:val="00A5586E"/>
    <w:rsid w:val="00A61E18"/>
    <w:rsid w:val="00A714BE"/>
    <w:rsid w:val="00A71A36"/>
    <w:rsid w:val="00A746D7"/>
    <w:rsid w:val="00A7747B"/>
    <w:rsid w:val="00AB4BBD"/>
    <w:rsid w:val="00AC01DB"/>
    <w:rsid w:val="00AC1790"/>
    <w:rsid w:val="00AD6AE9"/>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91864"/>
    <w:rsid w:val="00B91F09"/>
    <w:rsid w:val="00BA3BE1"/>
    <w:rsid w:val="00BA62FA"/>
    <w:rsid w:val="00BB386D"/>
    <w:rsid w:val="00BB5079"/>
    <w:rsid w:val="00BC35A1"/>
    <w:rsid w:val="00BD7D1C"/>
    <w:rsid w:val="00BF0FE3"/>
    <w:rsid w:val="00C05C9A"/>
    <w:rsid w:val="00C065B4"/>
    <w:rsid w:val="00C1440E"/>
    <w:rsid w:val="00C230B0"/>
    <w:rsid w:val="00C314B2"/>
    <w:rsid w:val="00C35D44"/>
    <w:rsid w:val="00C442C8"/>
    <w:rsid w:val="00C5241E"/>
    <w:rsid w:val="00C52C19"/>
    <w:rsid w:val="00C54BE8"/>
    <w:rsid w:val="00C821DB"/>
    <w:rsid w:val="00C877BB"/>
    <w:rsid w:val="00C9318E"/>
    <w:rsid w:val="00CB417E"/>
    <w:rsid w:val="00CC6C1C"/>
    <w:rsid w:val="00CD251C"/>
    <w:rsid w:val="00CE64AA"/>
    <w:rsid w:val="00CF0F4D"/>
    <w:rsid w:val="00CF31F8"/>
    <w:rsid w:val="00CF3C46"/>
    <w:rsid w:val="00D008C5"/>
    <w:rsid w:val="00D04F0C"/>
    <w:rsid w:val="00D13FD4"/>
    <w:rsid w:val="00D26921"/>
    <w:rsid w:val="00D300FD"/>
    <w:rsid w:val="00D30FC2"/>
    <w:rsid w:val="00D40BD4"/>
    <w:rsid w:val="00D43005"/>
    <w:rsid w:val="00D55A06"/>
    <w:rsid w:val="00D62F19"/>
    <w:rsid w:val="00D65234"/>
    <w:rsid w:val="00D70E46"/>
    <w:rsid w:val="00D72306"/>
    <w:rsid w:val="00D90141"/>
    <w:rsid w:val="00D91613"/>
    <w:rsid w:val="00DA184B"/>
    <w:rsid w:val="00DA1DE5"/>
    <w:rsid w:val="00DB0829"/>
    <w:rsid w:val="00DC11FE"/>
    <w:rsid w:val="00DD010B"/>
    <w:rsid w:val="00DE4186"/>
    <w:rsid w:val="00DF5898"/>
    <w:rsid w:val="00E024F7"/>
    <w:rsid w:val="00E14CB2"/>
    <w:rsid w:val="00E26FE6"/>
    <w:rsid w:val="00E276A6"/>
    <w:rsid w:val="00E27C9C"/>
    <w:rsid w:val="00E27CBC"/>
    <w:rsid w:val="00E46AFE"/>
    <w:rsid w:val="00E53649"/>
    <w:rsid w:val="00E650E8"/>
    <w:rsid w:val="00E66A0D"/>
    <w:rsid w:val="00E7294F"/>
    <w:rsid w:val="00E87622"/>
    <w:rsid w:val="00EC4EA0"/>
    <w:rsid w:val="00EC6C2A"/>
    <w:rsid w:val="00EC6F96"/>
    <w:rsid w:val="00ED5E6C"/>
    <w:rsid w:val="00ED5FF2"/>
    <w:rsid w:val="00EE0084"/>
    <w:rsid w:val="00EF189C"/>
    <w:rsid w:val="00F01239"/>
    <w:rsid w:val="00F02220"/>
    <w:rsid w:val="00F3026C"/>
    <w:rsid w:val="00F30703"/>
    <w:rsid w:val="00F307E5"/>
    <w:rsid w:val="00F405E5"/>
    <w:rsid w:val="00F4184C"/>
    <w:rsid w:val="00F46209"/>
    <w:rsid w:val="00F53F54"/>
    <w:rsid w:val="00F54FC5"/>
    <w:rsid w:val="00F763B9"/>
    <w:rsid w:val="00F85953"/>
    <w:rsid w:val="00F86E87"/>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F379B9"/>
  <w15:docId w15:val="{CA461173-0B3B-4B35-B6E0-0D83D176A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pbvrsac@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wikis.ec.europa.eu/download/attachments/44168995/b8d_annexigc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8E346-4B6A-4A16-91B3-2A4562A0E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7</Pages>
  <Words>1580</Words>
  <Characters>9007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Kalnak</cp:lastModifiedBy>
  <cp:revision>2</cp:revision>
  <cp:lastPrinted>2015-06-29T10:20:00Z</cp:lastPrinted>
  <dcterms:created xsi:type="dcterms:W3CDTF">2022-08-16T07:35:00Z</dcterms:created>
  <dcterms:modified xsi:type="dcterms:W3CDTF">2025-04-03T09:50:00Z</dcterms:modified>
</cp:coreProperties>
</file>